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B6" w:rsidRPr="00A27FB6" w:rsidRDefault="00A27FB6" w:rsidP="00A27FB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27FB6">
        <w:rPr>
          <w:rFonts w:eastAsiaTheme="minorHAnsi"/>
          <w:b/>
          <w:sz w:val="28"/>
          <w:szCs w:val="28"/>
          <w:lang w:eastAsia="en-US"/>
        </w:rPr>
        <w:t>Сведения из стратегии развития открытого акционерного общества «Синкевичский»</w:t>
      </w:r>
    </w:p>
    <w:p w:rsidR="00A27FB6" w:rsidRPr="00A27FB6" w:rsidRDefault="00A27FB6" w:rsidP="00A27FB6">
      <w:pPr>
        <w:jc w:val="center"/>
        <w:rPr>
          <w:rFonts w:eastAsiaTheme="minorHAnsi"/>
          <w:sz w:val="28"/>
          <w:szCs w:val="28"/>
          <w:lang w:eastAsia="en-US"/>
        </w:rPr>
      </w:pPr>
    </w:p>
    <w:p w:rsidR="00A27FB6" w:rsidRP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ind w:firstLine="426"/>
        <w:jc w:val="both"/>
        <w:rPr>
          <w:sz w:val="28"/>
          <w:szCs w:val="28"/>
        </w:rPr>
      </w:pPr>
      <w:r w:rsidRPr="00A27FB6">
        <w:rPr>
          <w:sz w:val="28"/>
          <w:szCs w:val="28"/>
        </w:rPr>
        <w:t xml:space="preserve">Стратегия развития общества на 2024 год: увеличение </w:t>
      </w:r>
      <w:proofErr w:type="gramStart"/>
      <w:r w:rsidRPr="00A27FB6">
        <w:rPr>
          <w:sz w:val="28"/>
          <w:szCs w:val="28"/>
        </w:rPr>
        <w:t>объема  и</w:t>
      </w:r>
      <w:proofErr w:type="gramEnd"/>
      <w:r w:rsidRPr="00A27FB6">
        <w:rPr>
          <w:sz w:val="28"/>
          <w:szCs w:val="28"/>
        </w:rPr>
        <w:t xml:space="preserve"> повышение качества выпускаемой продукции, снижение себестоимости производимой продукции. ОАО «Синкевичский планирует реализовать </w:t>
      </w:r>
      <w:proofErr w:type="gramStart"/>
      <w:r w:rsidRPr="00A27FB6">
        <w:rPr>
          <w:sz w:val="28"/>
          <w:szCs w:val="28"/>
        </w:rPr>
        <w:t>мероприятия</w:t>
      </w:r>
      <w:proofErr w:type="gramEnd"/>
      <w:r w:rsidRPr="00A27FB6">
        <w:rPr>
          <w:sz w:val="28"/>
          <w:szCs w:val="28"/>
        </w:rPr>
        <w:t xml:space="preserve"> направленные на снижение энергопотребления, материалоемкости, повышения качественных показателей продукции и тем самым добиться запланированных показателей социально-экономического развития.</w:t>
      </w:r>
    </w:p>
    <w:p w:rsidR="00A27FB6" w:rsidRPr="00A27FB6" w:rsidRDefault="00A27FB6" w:rsidP="00A27FB6">
      <w:pPr>
        <w:spacing w:line="360" w:lineRule="auto"/>
        <w:ind w:firstLine="426"/>
        <w:jc w:val="both"/>
        <w:rPr>
          <w:sz w:val="28"/>
          <w:szCs w:val="28"/>
        </w:rPr>
      </w:pPr>
      <w:r w:rsidRPr="00A27FB6">
        <w:rPr>
          <w:sz w:val="28"/>
          <w:szCs w:val="28"/>
        </w:rPr>
        <w:t>Стратегией развития предприятия является увеличение объема и повышение качества выпускаемой продукции.</w:t>
      </w:r>
    </w:p>
    <w:p w:rsidR="00A27FB6" w:rsidRPr="00A27FB6" w:rsidRDefault="00A27FB6" w:rsidP="00A27FB6">
      <w:pPr>
        <w:shd w:val="clear" w:color="auto" w:fill="FFFFFF"/>
        <w:spacing w:before="5" w:line="360" w:lineRule="auto"/>
        <w:ind w:firstLine="426"/>
        <w:jc w:val="both"/>
        <w:rPr>
          <w:sz w:val="28"/>
          <w:szCs w:val="28"/>
        </w:rPr>
      </w:pPr>
      <w:r w:rsidRPr="00A27FB6">
        <w:rPr>
          <w:spacing w:val="-9"/>
          <w:sz w:val="28"/>
          <w:szCs w:val="28"/>
        </w:rPr>
        <w:t>Стратегия маркетинга ОАО «Синкевичский»:</w:t>
      </w:r>
    </w:p>
    <w:p w:rsidR="00A27FB6" w:rsidRPr="00A27FB6" w:rsidRDefault="00A27FB6" w:rsidP="00A27FB6">
      <w:pPr>
        <w:shd w:val="clear" w:color="auto" w:fill="FFFFFF"/>
        <w:tabs>
          <w:tab w:val="left" w:pos="1248"/>
        </w:tabs>
        <w:spacing w:line="360" w:lineRule="auto"/>
        <w:ind w:firstLine="552"/>
        <w:rPr>
          <w:sz w:val="28"/>
          <w:szCs w:val="28"/>
        </w:rPr>
      </w:pPr>
      <w:r w:rsidRPr="00A27FB6">
        <w:rPr>
          <w:spacing w:val="-4"/>
          <w:sz w:val="28"/>
          <w:szCs w:val="28"/>
        </w:rPr>
        <w:t xml:space="preserve">- получение     прибыли    за    счет    удовлетворения    потребностей </w:t>
      </w:r>
      <w:r w:rsidRPr="00A27FB6">
        <w:rPr>
          <w:sz w:val="28"/>
          <w:szCs w:val="28"/>
        </w:rPr>
        <w:t>потребителей в качественной продукции;</w:t>
      </w:r>
    </w:p>
    <w:p w:rsidR="00A27FB6" w:rsidRPr="00A27FB6" w:rsidRDefault="00A27FB6" w:rsidP="00A27FB6">
      <w:pPr>
        <w:shd w:val="clear" w:color="auto" w:fill="FFFFFF"/>
        <w:tabs>
          <w:tab w:val="left" w:pos="1248"/>
        </w:tabs>
        <w:spacing w:line="360" w:lineRule="auto"/>
        <w:ind w:firstLine="552"/>
        <w:rPr>
          <w:sz w:val="28"/>
          <w:szCs w:val="28"/>
        </w:rPr>
      </w:pPr>
      <w:r w:rsidRPr="00A27FB6">
        <w:rPr>
          <w:spacing w:val="-2"/>
          <w:sz w:val="28"/>
          <w:szCs w:val="28"/>
        </w:rPr>
        <w:t xml:space="preserve">- наращивание объемов производства и соответственно увеличение </w:t>
      </w:r>
      <w:r w:rsidRPr="00A27FB6">
        <w:rPr>
          <w:sz w:val="28"/>
          <w:szCs w:val="28"/>
        </w:rPr>
        <w:t>объемов продаж;</w:t>
      </w:r>
    </w:p>
    <w:p w:rsidR="00A27FB6" w:rsidRP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ind w:firstLine="552"/>
        <w:rPr>
          <w:sz w:val="28"/>
          <w:szCs w:val="28"/>
        </w:rPr>
      </w:pPr>
      <w:r w:rsidRPr="00A27FB6">
        <w:rPr>
          <w:spacing w:val="-6"/>
          <w:sz w:val="28"/>
          <w:szCs w:val="28"/>
        </w:rPr>
        <w:t>- увеличение своей доли на существующем рынке</w:t>
      </w:r>
      <w:r w:rsidRPr="00A27FB6">
        <w:rPr>
          <w:spacing w:val="-8"/>
          <w:sz w:val="28"/>
          <w:szCs w:val="28"/>
        </w:rPr>
        <w:t>;</w:t>
      </w:r>
    </w:p>
    <w:p w:rsidR="00A27FB6" w:rsidRPr="00A27FB6" w:rsidRDefault="00A27FB6" w:rsidP="00A27FB6">
      <w:pPr>
        <w:shd w:val="clear" w:color="auto" w:fill="FFFFFF"/>
        <w:tabs>
          <w:tab w:val="left" w:pos="1258"/>
        </w:tabs>
        <w:spacing w:before="120" w:line="360" w:lineRule="auto"/>
        <w:ind w:right="14" w:firstLine="552"/>
        <w:jc w:val="both"/>
        <w:rPr>
          <w:sz w:val="28"/>
          <w:szCs w:val="28"/>
        </w:rPr>
      </w:pPr>
      <w:r w:rsidRPr="00A27FB6">
        <w:rPr>
          <w:sz w:val="28"/>
          <w:szCs w:val="28"/>
        </w:rPr>
        <w:t>- закрепление положительного имиджа предприятия среди потребителей;</w:t>
      </w:r>
    </w:p>
    <w:p w:rsidR="00A27FB6" w:rsidRPr="00A27FB6" w:rsidRDefault="00A27FB6" w:rsidP="00A27FB6">
      <w:pPr>
        <w:shd w:val="clear" w:color="auto" w:fill="FFFFFF"/>
        <w:tabs>
          <w:tab w:val="left" w:pos="1258"/>
          <w:tab w:val="left" w:pos="3442"/>
          <w:tab w:val="left" w:pos="6000"/>
          <w:tab w:val="left" w:pos="8285"/>
        </w:tabs>
        <w:spacing w:line="360" w:lineRule="auto"/>
        <w:ind w:firstLine="552"/>
        <w:jc w:val="both"/>
        <w:rPr>
          <w:sz w:val="28"/>
          <w:szCs w:val="28"/>
        </w:rPr>
      </w:pPr>
      <w:r w:rsidRPr="00A27FB6">
        <w:rPr>
          <w:sz w:val="28"/>
          <w:szCs w:val="28"/>
        </w:rPr>
        <w:t xml:space="preserve">-    расширение </w:t>
      </w:r>
      <w:r w:rsidRPr="00A27FB6">
        <w:rPr>
          <w:spacing w:val="-3"/>
          <w:sz w:val="28"/>
          <w:szCs w:val="28"/>
        </w:rPr>
        <w:t>коммуникаций,</w:t>
      </w:r>
      <w:r w:rsidRPr="00A27FB6">
        <w:rPr>
          <w:sz w:val="28"/>
          <w:szCs w:val="28"/>
        </w:rPr>
        <w:t xml:space="preserve"> налаживание</w:t>
      </w:r>
      <w:r w:rsidRPr="00A27FB6">
        <w:rPr>
          <w:sz w:val="28"/>
          <w:szCs w:val="28"/>
        </w:rPr>
        <w:tab/>
        <w:t>устойчивых долговременных связей с представителями перерабатывающих предприятий на территории Республики Беларусь;</w:t>
      </w:r>
    </w:p>
    <w:p w:rsidR="00A27FB6" w:rsidRDefault="00A27FB6" w:rsidP="00A27FB6">
      <w:pPr>
        <w:shd w:val="clear" w:color="auto" w:fill="FFFFFF"/>
        <w:tabs>
          <w:tab w:val="left" w:pos="1267"/>
        </w:tabs>
        <w:spacing w:before="10" w:line="360" w:lineRule="auto"/>
        <w:ind w:firstLine="552"/>
        <w:jc w:val="both"/>
      </w:pPr>
      <w:r>
        <w:rPr>
          <w:sz w:val="28"/>
          <w:szCs w:val="28"/>
        </w:rPr>
        <w:t>- применение активных усилий по продвижению продукции.</w:t>
      </w:r>
    </w:p>
    <w:p w:rsidR="00A27FB6" w:rsidRDefault="00A27FB6" w:rsidP="00A27FB6">
      <w:pPr>
        <w:shd w:val="clear" w:color="auto" w:fill="FFFFFF"/>
        <w:spacing w:line="360" w:lineRule="auto"/>
        <w:ind w:left="5" w:right="5" w:firstLine="528"/>
        <w:jc w:val="both"/>
      </w:pPr>
      <w:r>
        <w:rPr>
          <w:sz w:val="28"/>
          <w:szCs w:val="28"/>
        </w:rPr>
        <w:t>Постоянный мониторинг состояния рынка позволяет своевременно организовывать выпуск востребованной и конкурентоспособной продукции.</w:t>
      </w:r>
    </w:p>
    <w:p w:rsidR="00A27FB6" w:rsidRDefault="00A27FB6" w:rsidP="00A27FB6">
      <w:pPr>
        <w:shd w:val="clear" w:color="auto" w:fill="FFFFFF"/>
        <w:spacing w:line="360" w:lineRule="auto"/>
        <w:ind w:right="5" w:firstLine="533"/>
        <w:jc w:val="both"/>
      </w:pPr>
      <w:r>
        <w:rPr>
          <w:sz w:val="28"/>
          <w:szCs w:val="28"/>
        </w:rPr>
        <w:t>При планировании объемов сбыта сельскохозяйственной продукции необходимо учитывать тот факт, что хозяйство ежегодно обязуется предоставлять продукцию растениеводства и животноводства в определенных объемах государственным перерабатывающим предприятиям.</w:t>
      </w:r>
    </w:p>
    <w:p w:rsidR="00A27FB6" w:rsidRDefault="00A27FB6" w:rsidP="00A27FB6">
      <w:pPr>
        <w:shd w:val="clear" w:color="auto" w:fill="FFFFFF"/>
        <w:spacing w:line="360" w:lineRule="auto"/>
        <w:ind w:left="5" w:right="5" w:firstLine="533"/>
        <w:jc w:val="both"/>
        <w:rPr>
          <w:sz w:val="28"/>
          <w:szCs w:val="28"/>
        </w:rPr>
      </w:pPr>
      <w:r w:rsidRPr="00AC6EF4">
        <w:rPr>
          <w:sz w:val="28"/>
          <w:szCs w:val="28"/>
        </w:rPr>
        <w:lastRenderedPageBreak/>
        <w:t>Что касается совершенствования сбытово</w:t>
      </w:r>
      <w:r>
        <w:rPr>
          <w:sz w:val="28"/>
          <w:szCs w:val="28"/>
        </w:rPr>
        <w:t>й политики ОАО «Синкевичский»</w:t>
      </w:r>
      <w:r w:rsidRPr="00AC6EF4">
        <w:rPr>
          <w:sz w:val="28"/>
          <w:szCs w:val="28"/>
        </w:rPr>
        <w:t xml:space="preserve"> основным стратегическим направлением является дальнейшее улучшение качества продукции</w:t>
      </w:r>
      <w:r>
        <w:rPr>
          <w:sz w:val="28"/>
          <w:szCs w:val="28"/>
        </w:rPr>
        <w:t xml:space="preserve">. </w:t>
      </w:r>
    </w:p>
    <w:p w:rsidR="00A27FB6" w:rsidRPr="007F42D0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Приоритетным направлением ОАО «Синкевичский» на ближайшую перспективу по-прежнему остается производство молока, мяса, зерна, </w:t>
      </w:r>
      <w:proofErr w:type="spellStart"/>
      <w:r>
        <w:rPr>
          <w:sz w:val="28"/>
          <w:szCs w:val="28"/>
        </w:rPr>
        <w:t>маслосемян</w:t>
      </w:r>
      <w:proofErr w:type="spellEnd"/>
      <w:r>
        <w:rPr>
          <w:sz w:val="28"/>
          <w:szCs w:val="28"/>
        </w:rPr>
        <w:t xml:space="preserve"> рапса, а также создание прочной кормовой базы для животноводства.</w:t>
      </w:r>
    </w:p>
    <w:p w:rsidR="00A27FB6" w:rsidRPr="00567CF3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67CF3">
        <w:rPr>
          <w:sz w:val="28"/>
          <w:szCs w:val="28"/>
        </w:rPr>
        <w:t xml:space="preserve">Производственная программа </w:t>
      </w:r>
      <w:r>
        <w:rPr>
          <w:sz w:val="28"/>
          <w:szCs w:val="28"/>
        </w:rPr>
        <w:t>разработана с учетом запланированных темпов роста объемов производства продукции в сопоставимых ценах. Программа производства продукции на прогнозный период учитывает наращивание объемов производства продукции растениеводства и животноводства с учетом роста продуктивности сельскохозяйственных животных, а также роста урожайности сельскохозяйственных культур.</w:t>
      </w:r>
    </w:p>
    <w:p w:rsidR="00A27FB6" w:rsidRDefault="00A27FB6" w:rsidP="00A27FB6">
      <w:pPr>
        <w:tabs>
          <w:tab w:val="left" w:pos="426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Планируемые показатели производства и реализации сельскохозяйственной продукции в 2024 году представлены в следующей таблице</w:t>
      </w:r>
    </w:p>
    <w:p w:rsidR="00A27FB6" w:rsidRP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jc w:val="both"/>
        <w:rPr>
          <w:b/>
        </w:rPr>
      </w:pPr>
      <w:r w:rsidRPr="00A27FB6">
        <w:rPr>
          <w:b/>
        </w:rPr>
        <w:t xml:space="preserve">Таблица 1. Показатели </w:t>
      </w:r>
      <w:proofErr w:type="gramStart"/>
      <w:r w:rsidRPr="00A27FB6">
        <w:rPr>
          <w:b/>
        </w:rPr>
        <w:t>производства  и</w:t>
      </w:r>
      <w:proofErr w:type="gramEnd"/>
      <w:r w:rsidRPr="00A27FB6">
        <w:rPr>
          <w:b/>
        </w:rPr>
        <w:t xml:space="preserve"> реализации сельскохозяйственной продукции.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56"/>
        <w:gridCol w:w="1276"/>
        <w:gridCol w:w="1313"/>
      </w:tblGrid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 w:rsidRPr="000E50AB">
              <w:t>Наименование показателя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ind w:left="72" w:hanging="72"/>
              <w:jc w:val="center"/>
            </w:pPr>
            <w:r>
              <w:t>Факт</w:t>
            </w:r>
          </w:p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ind w:left="72" w:hanging="72"/>
              <w:jc w:val="center"/>
            </w:pPr>
            <w:r>
              <w:t>2023г.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ind w:left="72" w:hanging="72"/>
              <w:jc w:val="center"/>
            </w:pPr>
            <w:r>
              <w:t>План 2024г.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ind w:left="72" w:hanging="72"/>
              <w:jc w:val="center"/>
            </w:pPr>
            <w:r>
              <w:t>Темп роста 2024г. к 2023</w:t>
            </w:r>
            <w:r w:rsidRPr="000E50AB">
              <w:t>г, %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 w:rsidRPr="000E50AB">
              <w:t>Производство молока, т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10904,2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11450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105,0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Удой молока на 1 корову, кг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5578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5890</w:t>
            </w:r>
          </w:p>
        </w:tc>
        <w:tc>
          <w:tcPr>
            <w:tcW w:w="1313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105,6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Реализация</w:t>
            </w:r>
            <w:r w:rsidRPr="000E50AB">
              <w:t xml:space="preserve"> молока</w:t>
            </w:r>
            <w:r>
              <w:t xml:space="preserve"> в </w:t>
            </w:r>
            <w:proofErr w:type="spellStart"/>
            <w:r>
              <w:t>физ.весе</w:t>
            </w:r>
            <w:proofErr w:type="spellEnd"/>
            <w:r w:rsidRPr="000E50AB">
              <w:t>, т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10200,4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10763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105,5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 w:rsidRPr="000E50AB">
              <w:t>Выращено продукции КРС, т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811,3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820,0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101,1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Среднесуточный привес КРС, грамм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701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702</w:t>
            </w:r>
          </w:p>
        </w:tc>
        <w:tc>
          <w:tcPr>
            <w:tcW w:w="1313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 xml:space="preserve">Реализация </w:t>
            </w:r>
            <w:proofErr w:type="gramStart"/>
            <w:r>
              <w:t>скота  на</w:t>
            </w:r>
            <w:proofErr w:type="gramEnd"/>
            <w:r>
              <w:t xml:space="preserve"> убой</w:t>
            </w:r>
            <w:r w:rsidRPr="000E50AB">
              <w:t xml:space="preserve"> в живом весе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592,4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111,4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 w:rsidRPr="000E50AB">
              <w:t>Производство зерна в весе после доработки, т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3450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7460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216,2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 xml:space="preserve">Урожайность </w:t>
            </w:r>
            <w:proofErr w:type="spellStart"/>
            <w:proofErr w:type="gramStart"/>
            <w:r>
              <w:t>зерна,ц</w:t>
            </w:r>
            <w:proofErr w:type="spellEnd"/>
            <w:proofErr w:type="gramEnd"/>
            <w:r>
              <w:t>/га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17,0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13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176,5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 w:rsidRPr="000E50AB">
              <w:t>Производства семян рапса, т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 xml:space="preserve">Урожайность </w:t>
            </w:r>
            <w:proofErr w:type="gramStart"/>
            <w:r>
              <w:t>рапса ,ц</w:t>
            </w:r>
            <w:proofErr w:type="gramEnd"/>
            <w:r>
              <w:t>/га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15,2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17,1</w:t>
            </w:r>
          </w:p>
        </w:tc>
        <w:tc>
          <w:tcPr>
            <w:tcW w:w="1313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112,5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Заготовка кормов: сена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672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148,8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сенажа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8174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16500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201,9</w:t>
            </w:r>
          </w:p>
        </w:tc>
      </w:tr>
      <w:tr w:rsidR="00A27FB6" w:rsidRPr="000E50AB" w:rsidTr="00B04D82">
        <w:tc>
          <w:tcPr>
            <w:tcW w:w="5328" w:type="dxa"/>
            <w:shd w:val="clear" w:color="auto" w:fill="auto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both"/>
            </w:pPr>
            <w:r>
              <w:t>силоса</w:t>
            </w:r>
          </w:p>
        </w:tc>
        <w:tc>
          <w:tcPr>
            <w:tcW w:w="125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25674</w:t>
            </w:r>
          </w:p>
        </w:tc>
        <w:tc>
          <w:tcPr>
            <w:tcW w:w="1276" w:type="dxa"/>
          </w:tcPr>
          <w:p w:rsidR="00A27FB6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23500</w:t>
            </w:r>
          </w:p>
        </w:tc>
        <w:tc>
          <w:tcPr>
            <w:tcW w:w="1313" w:type="dxa"/>
            <w:shd w:val="clear" w:color="auto" w:fill="auto"/>
          </w:tcPr>
          <w:p w:rsidR="00A27FB6" w:rsidRPr="000E50AB" w:rsidRDefault="00A27FB6" w:rsidP="00B04D82">
            <w:pPr>
              <w:tabs>
                <w:tab w:val="left" w:pos="1118"/>
                <w:tab w:val="left" w:pos="2129"/>
                <w:tab w:val="left" w:pos="3139"/>
                <w:tab w:val="left" w:pos="4150"/>
              </w:tabs>
              <w:autoSpaceDE w:val="0"/>
              <w:autoSpaceDN w:val="0"/>
              <w:adjustRightInd w:val="0"/>
              <w:jc w:val="center"/>
            </w:pPr>
            <w:r>
              <w:t>91,5</w:t>
            </w:r>
          </w:p>
        </w:tc>
      </w:tr>
    </w:tbl>
    <w:p w:rsidR="00A27FB6" w:rsidRDefault="00A27FB6" w:rsidP="00A27FB6">
      <w:pPr>
        <w:spacing w:line="360" w:lineRule="auto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Инвестиции в основной капитал ОАО «Синкевичский» на горизонт расчета будут формировать в основном затраты по продолжению </w:t>
      </w:r>
      <w:r>
        <w:rPr>
          <w:sz w:val="28"/>
          <w:szCs w:val="28"/>
        </w:rPr>
        <w:lastRenderedPageBreak/>
        <w:t>реконструкции МТФ «</w:t>
      </w:r>
      <w:proofErr w:type="spellStart"/>
      <w:r>
        <w:rPr>
          <w:sz w:val="28"/>
          <w:szCs w:val="28"/>
        </w:rPr>
        <w:t>Бродки</w:t>
      </w:r>
      <w:proofErr w:type="spellEnd"/>
      <w:r>
        <w:rPr>
          <w:sz w:val="28"/>
          <w:szCs w:val="28"/>
        </w:rPr>
        <w:t xml:space="preserve">» №8 3-я очередь, а также </w:t>
      </w:r>
      <w:proofErr w:type="gramStart"/>
      <w:r>
        <w:rPr>
          <w:sz w:val="28"/>
          <w:szCs w:val="28"/>
        </w:rPr>
        <w:t>затраты  по</w:t>
      </w:r>
      <w:proofErr w:type="gramEnd"/>
      <w:r>
        <w:rPr>
          <w:sz w:val="28"/>
          <w:szCs w:val="28"/>
        </w:rPr>
        <w:t xml:space="preserve"> формированию основного стада, приобретение техники.</w:t>
      </w:r>
    </w:p>
    <w:p w:rsidR="00A27FB6" w:rsidRPr="00383956" w:rsidRDefault="00A27FB6" w:rsidP="00A27F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83956">
        <w:rPr>
          <w:color w:val="000000"/>
          <w:sz w:val="28"/>
          <w:szCs w:val="28"/>
        </w:rPr>
        <w:t>Реконструкция МТФ «</w:t>
      </w:r>
      <w:proofErr w:type="spellStart"/>
      <w:r w:rsidRPr="00383956">
        <w:rPr>
          <w:color w:val="000000"/>
          <w:sz w:val="28"/>
          <w:szCs w:val="28"/>
        </w:rPr>
        <w:t>Бродки</w:t>
      </w:r>
      <w:proofErr w:type="spellEnd"/>
      <w:r w:rsidRPr="00383956">
        <w:rPr>
          <w:color w:val="000000"/>
          <w:sz w:val="28"/>
          <w:szCs w:val="28"/>
        </w:rPr>
        <w:t>» №</w:t>
      </w:r>
      <w:proofErr w:type="gramStart"/>
      <w:r w:rsidRPr="00383956">
        <w:rPr>
          <w:color w:val="000000"/>
          <w:sz w:val="28"/>
          <w:szCs w:val="28"/>
        </w:rPr>
        <w:t>8  предполагает</w:t>
      </w:r>
      <w:proofErr w:type="gramEnd"/>
      <w:r w:rsidRPr="00383956">
        <w:rPr>
          <w:color w:val="000000"/>
          <w:sz w:val="28"/>
          <w:szCs w:val="28"/>
        </w:rPr>
        <w:t xml:space="preserve"> реконструкцию коровника боксо</w:t>
      </w:r>
      <w:r>
        <w:rPr>
          <w:color w:val="000000"/>
          <w:sz w:val="28"/>
          <w:szCs w:val="28"/>
        </w:rPr>
        <w:t>вого содержания</w:t>
      </w:r>
      <w:r w:rsidRPr="003839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83956">
        <w:rPr>
          <w:color w:val="000000"/>
          <w:sz w:val="28"/>
          <w:szCs w:val="28"/>
        </w:rPr>
        <w:t>здания для содержания сухостойных коров и нетелей с родильным отделением, блок вспомогательных помещений, возведение здания для содержания телят и молодняка, площадки для погрузки навоза, сеть электроснабжения, выгульные площадки,</w:t>
      </w:r>
      <w:r>
        <w:rPr>
          <w:color w:val="000000"/>
          <w:sz w:val="28"/>
          <w:szCs w:val="28"/>
        </w:rPr>
        <w:t xml:space="preserve"> </w:t>
      </w:r>
      <w:r w:rsidRPr="00383956">
        <w:rPr>
          <w:color w:val="000000"/>
          <w:sz w:val="28"/>
          <w:szCs w:val="28"/>
        </w:rPr>
        <w:t>сети водопровода, сети канализации, накопитель ливневых стоков, благоустройство, озеленение, вертикальная планировка</w:t>
      </w:r>
      <w:r>
        <w:rPr>
          <w:color w:val="000000"/>
          <w:sz w:val="28"/>
          <w:szCs w:val="28"/>
        </w:rPr>
        <w:t xml:space="preserve">. Стоимость реконструкции с учетом установки </w:t>
      </w:r>
      <w:proofErr w:type="gramStart"/>
      <w:r>
        <w:rPr>
          <w:color w:val="000000"/>
          <w:sz w:val="28"/>
          <w:szCs w:val="28"/>
        </w:rPr>
        <w:t>оборудования  составит</w:t>
      </w:r>
      <w:proofErr w:type="gramEnd"/>
      <w:r>
        <w:rPr>
          <w:color w:val="000000"/>
          <w:sz w:val="28"/>
          <w:szCs w:val="28"/>
        </w:rPr>
        <w:t xml:space="preserve"> 4685 тыс. рублей.</w:t>
      </w:r>
    </w:p>
    <w:p w:rsid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предприятие планирует в 2024 году обновление машинно-тракторного парка по причине высокого износа этих основных средств.</w:t>
      </w:r>
    </w:p>
    <w:p w:rsid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Планируют в 2024году </w:t>
      </w:r>
      <w:proofErr w:type="gramStart"/>
      <w:r>
        <w:rPr>
          <w:sz w:val="28"/>
          <w:szCs w:val="28"/>
        </w:rPr>
        <w:t>приобрести:  трактор</w:t>
      </w:r>
      <w:proofErr w:type="gramEnd"/>
      <w:r>
        <w:rPr>
          <w:sz w:val="28"/>
          <w:szCs w:val="28"/>
        </w:rPr>
        <w:t xml:space="preserve"> МТЗ-82- 1ед., МТЗ-1221.3 – 1 ед., трактор МТЗ -82МК – 1ед., МУП-351 – 1ед., автомобиль Газель – 1 ед., погрузчик Амкодор352С – 1 ед., автомобиль МАЗ 20т – 2 ед.   на сумму 1450 тыс. рублей.</w:t>
      </w:r>
    </w:p>
    <w:p w:rsidR="00A27FB6" w:rsidRDefault="00A27FB6" w:rsidP="00A27FB6">
      <w:pPr>
        <w:tabs>
          <w:tab w:val="left" w:pos="1118"/>
          <w:tab w:val="left" w:pos="2129"/>
          <w:tab w:val="left" w:pos="3139"/>
          <w:tab w:val="left" w:pos="4150"/>
        </w:tabs>
        <w:spacing w:line="360" w:lineRule="auto"/>
        <w:jc w:val="both"/>
        <w:rPr>
          <w:sz w:val="28"/>
          <w:szCs w:val="28"/>
        </w:rPr>
      </w:pPr>
    </w:p>
    <w:p w:rsidR="004A1E02" w:rsidRDefault="004A1E02"/>
    <w:sectPr w:rsidR="004A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B6"/>
    <w:rsid w:val="004A1E02"/>
    <w:rsid w:val="00A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6EC9-600D-45D3-B471-1DBC0E7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2024-05-28T11:51:00Z</dcterms:created>
  <dcterms:modified xsi:type="dcterms:W3CDTF">2024-05-28T11:56:00Z</dcterms:modified>
</cp:coreProperties>
</file>